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1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</w:trPr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1000" w:lineRule="exact"/>
              <w:jc w:val="distribute"/>
              <w:rPr>
                <w:rFonts w:ascii="新宋体" w:hAnsi="新宋体" w:eastAsia="新宋体"/>
                <w:b/>
                <w:bCs/>
                <w:sz w:val="96"/>
                <w:szCs w:val="96"/>
              </w:rPr>
            </w:pPr>
            <w:r>
              <w:rPr>
                <w:rFonts w:hint="eastAsia" w:ascii="新宋体" w:hAnsi="新宋体" w:eastAsia="新宋体"/>
                <w:b/>
                <w:bCs/>
                <w:w w:val="80"/>
                <w:sz w:val="96"/>
                <w:szCs w:val="96"/>
                <w:lang w:val="en-US" w:eastAsia="zh-CN"/>
              </w:rPr>
              <w:t>中共</w:t>
            </w:r>
            <w:r>
              <w:rPr>
                <w:rFonts w:hint="eastAsia" w:ascii="新宋体" w:hAnsi="新宋体" w:eastAsia="新宋体"/>
                <w:b/>
                <w:bCs/>
                <w:w w:val="80"/>
                <w:sz w:val="96"/>
                <w:szCs w:val="96"/>
              </w:rPr>
              <w:t>宝鸡市</w:t>
            </w:r>
            <w:r>
              <w:rPr>
                <w:rFonts w:hint="eastAsia" w:ascii="新宋体" w:hAnsi="新宋体" w:eastAsia="新宋体"/>
                <w:b/>
                <w:bCs/>
                <w:w w:val="80"/>
                <w:sz w:val="96"/>
                <w:szCs w:val="96"/>
                <w:lang w:val="en-US" w:eastAsia="zh-CN"/>
              </w:rPr>
              <w:t>委</w:t>
            </w:r>
            <w:r>
              <w:rPr>
                <w:rFonts w:hint="eastAsia" w:ascii="新宋体" w:hAnsi="新宋体" w:eastAsia="新宋体"/>
                <w:b/>
                <w:bCs/>
                <w:w w:val="80"/>
                <w:sz w:val="96"/>
                <w:szCs w:val="96"/>
              </w:rPr>
              <w:t>文明办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1100" w:lineRule="exact"/>
              <w:jc w:val="center"/>
              <w:rPr>
                <w:rFonts w:ascii="新宋体" w:hAnsi="新宋体" w:eastAsia="新宋体"/>
                <w:b/>
                <w:bCs/>
                <w:spacing w:val="-20"/>
                <w:sz w:val="110"/>
                <w:szCs w:val="110"/>
              </w:rPr>
            </w:pPr>
            <w:r>
              <w:rPr>
                <w:rFonts w:hint="eastAsia" w:ascii="新宋体" w:hAnsi="新宋体" w:eastAsia="新宋体"/>
                <w:b/>
                <w:bCs/>
                <w:spacing w:val="-20"/>
                <w:sz w:val="112"/>
                <w:szCs w:val="112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1000" w:lineRule="exact"/>
              <w:jc w:val="distribute"/>
              <w:rPr>
                <w:rFonts w:ascii="新宋体" w:hAnsi="新宋体" w:eastAsia="新宋体"/>
                <w:b/>
                <w:bCs/>
                <w:sz w:val="96"/>
                <w:szCs w:val="96"/>
              </w:rPr>
            </w:pPr>
            <w:r>
              <w:rPr>
                <w:rFonts w:hint="eastAsia" w:ascii="新宋体" w:hAnsi="新宋体" w:eastAsia="新宋体"/>
                <w:b/>
                <w:bCs/>
                <w:sz w:val="96"/>
                <w:szCs w:val="96"/>
              </w:rPr>
              <w:t>宝鸡市教育局</w:t>
            </w:r>
          </w:p>
        </w:tc>
        <w:tc>
          <w:tcPr>
            <w:tcW w:w="1269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b/>
                <w:bCs/>
                <w:spacing w:val="-20"/>
                <w:sz w:val="110"/>
                <w:szCs w:val="1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1000" w:lineRule="exact"/>
              <w:jc w:val="distribute"/>
              <w:rPr>
                <w:rFonts w:ascii="新宋体" w:hAnsi="新宋体" w:eastAsia="新宋体"/>
                <w:b/>
                <w:bCs/>
                <w:sz w:val="96"/>
                <w:szCs w:val="96"/>
              </w:rPr>
            </w:pPr>
            <w:r>
              <w:rPr>
                <w:rFonts w:hint="eastAsia" w:ascii="新宋体" w:hAnsi="新宋体" w:eastAsia="新宋体"/>
                <w:b/>
                <w:bCs/>
                <w:sz w:val="96"/>
                <w:szCs w:val="96"/>
              </w:rPr>
              <w:t>共青团宝鸡市委</w:t>
            </w:r>
          </w:p>
        </w:tc>
        <w:tc>
          <w:tcPr>
            <w:tcW w:w="1269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b/>
                <w:bCs/>
                <w:spacing w:val="-20"/>
                <w:sz w:val="110"/>
                <w:szCs w:val="1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1000" w:lineRule="exact"/>
              <w:jc w:val="distribute"/>
              <w:rPr>
                <w:rFonts w:ascii="新宋体" w:hAnsi="新宋体" w:eastAsia="新宋体"/>
                <w:b/>
                <w:bCs/>
                <w:sz w:val="96"/>
                <w:szCs w:val="96"/>
              </w:rPr>
            </w:pPr>
            <w:r>
              <w:rPr>
                <w:rFonts w:hint="eastAsia" w:ascii="新宋体" w:hAnsi="新宋体" w:eastAsia="新宋体"/>
                <w:b/>
                <w:bCs/>
                <w:sz w:val="96"/>
                <w:szCs w:val="96"/>
              </w:rPr>
              <w:t>宝鸡市妇联</w:t>
            </w:r>
          </w:p>
        </w:tc>
        <w:tc>
          <w:tcPr>
            <w:tcW w:w="1269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b/>
                <w:bCs/>
                <w:spacing w:val="-20"/>
                <w:sz w:val="110"/>
                <w:szCs w:val="110"/>
              </w:rPr>
            </w:pPr>
          </w:p>
        </w:tc>
      </w:tr>
    </w:tbl>
    <w:p/>
    <w:p/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宝市文明办〔20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r>
        <w:fldChar w:fldCharType="begin"/>
      </w:r>
      <w:r>
        <w:instrText xml:space="preserve"> INCLUDEPICTURE "C:\\Users\\admin\\AppData\\Local\\Temp\\ksohtml\\wps6059.tmp.png" \* MERGEFORMATINET </w:instrText>
      </w:r>
      <w:r>
        <w:fldChar w:fldCharType="separate"/>
      </w:r>
      <w:r>
        <w:drawing>
          <wp:inline distT="0" distB="0" distL="114300" distR="114300">
            <wp:extent cx="5314315" cy="19050"/>
            <wp:effectExtent l="0" t="0" r="635" b="0"/>
            <wp:docPr id="1" name="图片 1" descr="wps6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60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/>
    <w:p>
      <w:pPr>
        <w:spacing w:line="520" w:lineRule="exact"/>
        <w:jc w:val="center"/>
        <w:rPr>
          <w:rFonts w:hint="eastAsia" w:ascii="方正小标宋简体" w:hAnsi="方正小标宋简体" w:eastAsia="方正小标宋" w:cs="方正小标宋简体"/>
          <w:b/>
          <w:bCs/>
          <w:sz w:val="44"/>
          <w:szCs w:val="44"/>
        </w:rPr>
      </w:pPr>
      <w:r>
        <w:rPr>
          <w:rFonts w:hint="eastAsia" w:ascii="黑体" w:hAnsi="黑体" w:eastAsia="方正小标宋"/>
          <w:b/>
          <w:bCs/>
          <w:sz w:val="44"/>
          <w:szCs w:val="44"/>
        </w:rPr>
        <w:t>关于开展</w:t>
      </w:r>
      <w:r>
        <w:rPr>
          <w:rFonts w:hint="eastAsia" w:ascii="方正小标宋简体" w:hAnsi="方正小标宋简体" w:eastAsia="方正小标宋" w:cs="方正小标宋简体"/>
          <w:b/>
          <w:bCs/>
          <w:sz w:val="44"/>
          <w:szCs w:val="44"/>
          <w:lang w:val="en-US" w:eastAsia="zh-CN"/>
        </w:rPr>
        <w:t>2021年度推荐</w:t>
      </w:r>
      <w:r>
        <w:rPr>
          <w:rFonts w:hint="eastAsia" w:ascii="方正小标宋简体" w:hAnsi="方正小标宋简体" w:eastAsia="方正小标宋" w:cs="方正小标宋简体"/>
          <w:b/>
          <w:bCs/>
          <w:sz w:val="44"/>
          <w:szCs w:val="44"/>
        </w:rPr>
        <w:t>学习</w:t>
      </w:r>
      <w:r>
        <w:rPr>
          <w:rFonts w:hint="eastAsia" w:ascii="方正小标宋简体" w:hAnsi="方正小标宋简体" w:eastAsia="方正小标宋" w:cs="方正小标宋简体"/>
          <w:b/>
          <w:bCs/>
          <w:sz w:val="44"/>
          <w:szCs w:val="44"/>
          <w:lang w:val="en-US" w:eastAsia="zh-CN"/>
        </w:rPr>
        <w:t>宣传</w:t>
      </w:r>
      <w:r>
        <w:rPr>
          <w:rFonts w:hint="eastAsia" w:ascii="方正小标宋简体" w:hAnsi="方正小标宋简体" w:eastAsia="方正小标宋" w:cs="方正小标宋简体"/>
          <w:b/>
          <w:bCs/>
          <w:sz w:val="44"/>
          <w:szCs w:val="44"/>
        </w:rPr>
        <w:t>争做</w:t>
      </w:r>
    </w:p>
    <w:p>
      <w:pPr>
        <w:spacing w:line="520" w:lineRule="exact"/>
        <w:jc w:val="center"/>
        <w:rPr>
          <w:rFonts w:hint="eastAsia" w:ascii="黑体" w:eastAsia="方正小标宋"/>
          <w:b/>
          <w:bCs/>
          <w:sz w:val="44"/>
          <w:szCs w:val="44"/>
        </w:rPr>
      </w:pPr>
      <w:r>
        <w:rPr>
          <w:rFonts w:hint="eastAsia" w:ascii="黑体" w:eastAsia="方正小标宋"/>
          <w:b/>
          <w:bCs/>
          <w:sz w:val="44"/>
          <w:szCs w:val="44"/>
        </w:rPr>
        <w:t>“</w:t>
      </w:r>
      <w:r>
        <w:rPr>
          <w:rFonts w:hint="eastAsia" w:ascii="方正小标宋简体" w:hAnsi="方正小标宋简体" w:eastAsia="方正小标宋" w:cs="方正小标宋简体"/>
          <w:b/>
          <w:bCs/>
          <w:sz w:val="44"/>
          <w:szCs w:val="44"/>
          <w:lang w:val="en-US" w:eastAsia="zh-CN"/>
        </w:rPr>
        <w:t>陕西省新时代好少年</w:t>
      </w:r>
      <w:r>
        <w:rPr>
          <w:rFonts w:hint="eastAsia" w:ascii="黑体" w:eastAsia="方正小标宋"/>
          <w:b/>
          <w:bCs/>
          <w:sz w:val="44"/>
          <w:szCs w:val="44"/>
        </w:rPr>
        <w:t>”活动的通知</w:t>
      </w: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  <w:r>
        <w:rPr>
          <w:rFonts w:hint="eastAsia" w:ascii="仿宋" w:hAnsi="仿宋" w:eastAsia="仿宋"/>
          <w:sz w:val="32"/>
          <w:szCs w:val="32"/>
        </w:rPr>
        <w:t>各县区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委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文明办、教体（文教）局、团委、妇联，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市教育局</w:t>
      </w:r>
      <w:r>
        <w:rPr>
          <w:rFonts w:hint="eastAsia" w:ascii="仿宋" w:hAnsi="仿宋" w:eastAsia="仿宋"/>
          <w:sz w:val="32"/>
          <w:szCs w:val="32"/>
        </w:rPr>
        <w:t>直属学校：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贯彻习近平新时代中国特色社会主义思想，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党的十九大和十九届二中、三中、四中、五中全会精神，围绕立德树人根本任务，积极培育和践行社会主义核心价值观，培养德智体美劳全面发展的社会主义建设者和接班人，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帮助青少年“扣好人生第一粒扣子”，进一步深化</w:t>
      </w:r>
      <w:r>
        <w:rPr>
          <w:rFonts w:hint="eastAsia" w:ascii="仿宋_GB2312" w:hAnsi="仿宋_GB2312" w:eastAsia="仿宋_GB2312" w:cs="仿宋_GB2312"/>
          <w:sz w:val="32"/>
          <w:szCs w:val="32"/>
        </w:rPr>
        <w:t>“厚德陕西”建设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营造庆祝建党100周年浓厚氛围。</w:t>
      </w:r>
      <w:r>
        <w:rPr>
          <w:rFonts w:hint="eastAsia" w:ascii="仿宋" w:hAnsi="仿宋" w:eastAsia="仿宋"/>
          <w:sz w:val="32"/>
          <w:szCs w:val="32"/>
        </w:rPr>
        <w:t>省委文明办、省教育厅、团省委、省妇联决定，在全省开展20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宣传、</w:t>
      </w:r>
      <w:r>
        <w:rPr>
          <w:rFonts w:hint="eastAsia" w:ascii="仿宋_GB2312" w:hAnsi="仿宋_GB2312" w:eastAsia="仿宋_GB2312" w:cs="仿宋_GB2312"/>
          <w:sz w:val="32"/>
          <w:szCs w:val="32"/>
        </w:rPr>
        <w:t>争做“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陕西省新时代好少年</w:t>
      </w:r>
      <w:r>
        <w:rPr>
          <w:rFonts w:hint="eastAsia" w:ascii="仿宋_GB2312" w:hAnsi="仿宋_GB2312" w:eastAsia="仿宋_GB2312" w:cs="仿宋_GB2312"/>
          <w:sz w:val="32"/>
          <w:szCs w:val="32"/>
        </w:rPr>
        <w:t>”活动</w:t>
      </w:r>
      <w:r>
        <w:rPr>
          <w:rFonts w:hint="eastAsia" w:ascii="仿宋" w:hAnsi="仿宋" w:eastAsia="仿宋"/>
          <w:sz w:val="32"/>
          <w:szCs w:val="32"/>
        </w:rPr>
        <w:t>，现就宝鸡市活动开展作以下安排。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宋体" w:hAnsi="宋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、推选对象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凡户籍在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宝鸡</w:t>
      </w:r>
      <w:r>
        <w:rPr>
          <w:rFonts w:hint="eastAsia" w:ascii="仿宋" w:hAnsi="仿宋" w:eastAsia="仿宋"/>
          <w:sz w:val="32"/>
          <w:szCs w:val="32"/>
        </w:rPr>
        <w:t>的10—16岁少年，均可参与。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、推选条件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积极践行社会主义核心价值观，在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爱党爱国、孝老爱亲、助人为乐、热心公益、勤学善思、创新创造、自强自立、热爱劳动、保护环境、弘扬中华优秀文化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方面表现突出，取得优秀成果，引起积极社会反响，充满时代气息，事迹生动感人的少年典型，树立广大未成年人身边的学习榜样，彰显新时代好少年朝气蓬勃、积极向上的精神风貌，示范带动广大青少年向上向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本次活动</w:t>
      </w:r>
      <w:r>
        <w:rPr>
          <w:rFonts w:hint="eastAsia" w:ascii="仿宋" w:hAnsi="仿宋" w:eastAsia="仿宋"/>
          <w:color w:val="141414"/>
          <w:sz w:val="32"/>
          <w:szCs w:val="32"/>
        </w:rPr>
        <w:t>由市</w:t>
      </w:r>
      <w:r>
        <w:rPr>
          <w:rFonts w:hint="eastAsia" w:ascii="仿宋" w:hAnsi="仿宋" w:eastAsia="仿宋"/>
          <w:color w:val="141414"/>
          <w:sz w:val="32"/>
          <w:szCs w:val="32"/>
          <w:lang w:val="en-US" w:eastAsia="zh-CN"/>
        </w:rPr>
        <w:t>委</w:t>
      </w:r>
      <w:r>
        <w:rPr>
          <w:rFonts w:hint="eastAsia" w:ascii="仿宋" w:hAnsi="仿宋" w:eastAsia="仿宋"/>
          <w:color w:val="141414"/>
          <w:sz w:val="32"/>
          <w:szCs w:val="32"/>
        </w:rPr>
        <w:t>文明办</w:t>
      </w:r>
      <w:r>
        <w:rPr>
          <w:rFonts w:hint="eastAsia" w:ascii="仿宋" w:hAnsi="仿宋" w:eastAsia="仿宋"/>
          <w:color w:val="141414"/>
          <w:sz w:val="32"/>
          <w:szCs w:val="32"/>
          <w:lang w:val="en-US" w:eastAsia="zh-CN"/>
        </w:rPr>
        <w:t>思想道德建设</w:t>
      </w:r>
      <w:r>
        <w:rPr>
          <w:rFonts w:hint="eastAsia" w:ascii="仿宋" w:hAnsi="仿宋" w:eastAsia="仿宋"/>
          <w:color w:val="141414"/>
          <w:sz w:val="32"/>
          <w:szCs w:val="32"/>
        </w:rPr>
        <w:t>科组织实施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1、网络直接推荐。</w:t>
      </w:r>
      <w:r>
        <w:rPr>
          <w:rFonts w:hint="eastAsia" w:ascii="仿宋_GB2312" w:hAnsi="仿宋_GB2312" w:eastAsia="仿宋_GB2312" w:cs="仿宋_GB2312"/>
          <w:sz w:val="32"/>
          <w:szCs w:val="32"/>
        </w:rPr>
        <w:t>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日至4月10日，</w:t>
      </w:r>
      <w:r>
        <w:rPr>
          <w:rFonts w:hint="eastAsia" w:ascii="仿宋" w:hAnsi="仿宋" w:eastAsia="仿宋"/>
          <w:sz w:val="32"/>
          <w:szCs w:val="32"/>
        </w:rPr>
        <w:t>各县区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广泛开展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32"/>
        </w:rPr>
        <w:t>、推荐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新时代好</w:t>
      </w:r>
      <w:r>
        <w:rPr>
          <w:rFonts w:hint="eastAsia" w:ascii="仿宋_GB2312" w:hAnsi="仿宋_GB2312" w:eastAsia="仿宋_GB2312" w:cs="仿宋_GB2312"/>
          <w:sz w:val="32"/>
          <w:szCs w:val="32"/>
        </w:rPr>
        <w:t>少年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社会各界人士可登录陕西文明网、文明陕西官方微信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新时代好</w:t>
      </w:r>
      <w:r>
        <w:rPr>
          <w:rFonts w:hint="eastAsia" w:ascii="仿宋_GB2312" w:hAnsi="仿宋_GB2312" w:eastAsia="仿宋_GB2312" w:cs="仿宋_GB2312"/>
          <w:sz w:val="32"/>
          <w:szCs w:val="32"/>
        </w:rPr>
        <w:t>少年推荐平台进行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好少年线索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同时，将网络推荐情况报送市委文明办。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2、集中推荐。</w:t>
      </w:r>
      <w:r>
        <w:rPr>
          <w:rFonts w:hint="eastAsia" w:ascii="仿宋" w:hAnsi="仿宋" w:eastAsia="仿宋"/>
          <w:sz w:val="32"/>
          <w:szCs w:val="32"/>
        </w:rPr>
        <w:t>4月15日前，市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委</w:t>
      </w:r>
      <w:r>
        <w:rPr>
          <w:rFonts w:hint="eastAsia" w:ascii="仿宋" w:hAnsi="仿宋" w:eastAsia="仿宋"/>
          <w:sz w:val="32"/>
          <w:szCs w:val="32"/>
        </w:rPr>
        <w:t>文明办联合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教育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、团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委、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妇联，在评选的基础上向省文明办推荐5名事迹突出的少年典型。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00" w:firstLineChars="2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3、网络评议点赞。</w:t>
      </w:r>
      <w:r>
        <w:rPr>
          <w:rFonts w:hint="eastAsia" w:ascii="仿宋_GB2312" w:hAnsi="仿宋_GB2312" w:eastAsia="仿宋_GB2312" w:cs="仿宋_GB2312"/>
          <w:sz w:val="32"/>
          <w:szCs w:val="32"/>
        </w:rPr>
        <w:t>4月20日至5月10日，省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文明办结合网络推荐和各市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集中推荐情况甄选事迹突出的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陕西省新时代好</w:t>
      </w:r>
      <w:r>
        <w:rPr>
          <w:rFonts w:hint="eastAsia" w:ascii="仿宋_GB2312" w:hAnsi="仿宋_GB2312" w:eastAsia="仿宋_GB2312" w:cs="仿宋_GB2312"/>
          <w:sz w:val="32"/>
          <w:szCs w:val="32"/>
        </w:rPr>
        <w:t>少年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在陕西文明网、文明陕西官方微信进行展示，</w:t>
      </w:r>
      <w:r>
        <w:rPr>
          <w:rFonts w:hint="eastAsia" w:ascii="仿宋" w:hAnsi="仿宋" w:eastAsia="仿宋"/>
          <w:sz w:val="32"/>
          <w:szCs w:val="32"/>
        </w:rPr>
        <w:t>各县区要发动广大青少年登录相关网站，开展评议点赞，交流心得体会。每人推荐评议的字数控制在50字以内。</w:t>
      </w:r>
      <w:r>
        <w:rPr>
          <w:rFonts w:hint="eastAsia" w:ascii="仿宋_GB2312" w:hAnsi="仿宋_GB2312" w:eastAsia="仿宋_GB2312" w:cs="仿宋_GB2312"/>
          <w:sz w:val="32"/>
          <w:szCs w:val="32"/>
        </w:rPr>
        <w:t>评议点赞的结果将作为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陕西省新时代好</w:t>
      </w:r>
      <w:r>
        <w:rPr>
          <w:rFonts w:hint="eastAsia" w:ascii="仿宋_GB2312" w:hAnsi="仿宋_GB2312" w:eastAsia="仿宋_GB2312" w:cs="仿宋_GB2312"/>
          <w:sz w:val="32"/>
          <w:szCs w:val="32"/>
        </w:rPr>
        <w:t>少年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评选的重要参考。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00" w:firstLineChars="25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4、表彰奖励。</w:t>
      </w:r>
      <w:r>
        <w:rPr>
          <w:rFonts w:hint="eastAsia" w:ascii="仿宋_GB2312" w:hAnsi="仿宋_GB2312" w:eastAsia="仿宋_GB2312" w:cs="仿宋_GB2312"/>
          <w:sz w:val="32"/>
          <w:szCs w:val="32"/>
        </w:rPr>
        <w:t>5月20日前，主办单位根据网上推荐评议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各市推荐情况，组织有关专家评审，确定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年拟表彰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的“陕西省新时代好少年”人选</w:t>
      </w:r>
      <w:r>
        <w:rPr>
          <w:rFonts w:hint="eastAsia" w:ascii="仿宋_GB2312" w:hAnsi="仿宋_GB2312" w:eastAsia="仿宋_GB2312" w:cs="仿宋_GB2312"/>
          <w:sz w:val="32"/>
          <w:szCs w:val="32"/>
        </w:rPr>
        <w:t>。“六一”儿童节前，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发布2021年度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陕西省新时代好</w:t>
      </w:r>
      <w:r>
        <w:rPr>
          <w:rFonts w:hint="eastAsia" w:ascii="仿宋_GB2312" w:hAnsi="仿宋_GB2312" w:eastAsia="仿宋_GB2312" w:cs="仿宋_GB2312"/>
          <w:sz w:val="32"/>
          <w:szCs w:val="32"/>
        </w:rPr>
        <w:t>少年”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1、认真组织。</w:t>
      </w:r>
      <w:r>
        <w:rPr>
          <w:rFonts w:hint="eastAsia" w:ascii="仿宋" w:hAnsi="仿宋" w:eastAsia="仿宋"/>
          <w:sz w:val="32"/>
          <w:szCs w:val="32"/>
        </w:rPr>
        <w:t>各县区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要充分认识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陕西省</w:t>
      </w:r>
      <w:r>
        <w:rPr>
          <w:rFonts w:hint="eastAsia" w:ascii="仿宋_GB2312" w:hAnsi="仿宋_GB2312" w:eastAsia="仿宋_GB2312" w:cs="仿宋_GB2312"/>
          <w:sz w:val="32"/>
          <w:szCs w:val="32"/>
        </w:rPr>
        <w:t>新时代好少年”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推荐及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学习宣传活动对加强和改进未成年人思想道德建设的重要意义，要把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宣传、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争做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陕西省新时代好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少年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活动作为加强和改进全市未成年人思想道德建设，深化“厚德陕西”道德建设的一项重要工作，精心组织，周密安排，确保活动顺利开展。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各县区推荐、点赞情况将在一定范围内予以通报。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2、广泛发动。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推荐评议过程就是让广大青少年向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新时代好</w:t>
      </w:r>
      <w:r>
        <w:rPr>
          <w:rFonts w:hint="eastAsia" w:ascii="仿宋_GB2312" w:hAnsi="仿宋_GB2312" w:eastAsia="仿宋_GB2312" w:cs="仿宋_GB2312"/>
          <w:sz w:val="32"/>
          <w:szCs w:val="32"/>
        </w:rPr>
        <w:t>少年学习的过程。</w:t>
      </w:r>
      <w:r>
        <w:rPr>
          <w:rFonts w:hint="eastAsia" w:ascii="仿宋" w:hAnsi="仿宋" w:eastAsia="仿宋"/>
          <w:sz w:val="32"/>
          <w:szCs w:val="32"/>
        </w:rPr>
        <w:t>各县区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委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文明办要认真做好牵头协调工作，联合教育、团委、妇联广泛发动各中小学校学生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陕西省新时代好少年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推荐评议活动。</w:t>
      </w:r>
      <w:r>
        <w:rPr>
          <w:rFonts w:hint="eastAsia" w:ascii="仿宋" w:hAnsi="仿宋" w:eastAsia="仿宋"/>
          <w:sz w:val="32"/>
          <w:szCs w:val="32"/>
        </w:rPr>
        <w:t>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做好重点候选人的网络推荐及</w:t>
      </w:r>
      <w:r>
        <w:rPr>
          <w:rFonts w:hint="eastAsia" w:ascii="仿宋" w:hAnsi="仿宋" w:eastAsia="仿宋"/>
          <w:sz w:val="32"/>
          <w:szCs w:val="32"/>
        </w:rPr>
        <w:t>推荐评议环节学生参与率，通过宣传发动让每所中小学校、每个学生都参与进来，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把推荐评议的过程变成教育和学习的过程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3、加强宣传。</w:t>
      </w:r>
      <w:r>
        <w:rPr>
          <w:rFonts w:hint="eastAsia" w:ascii="仿宋" w:hAnsi="仿宋" w:eastAsia="仿宋"/>
          <w:sz w:val="32"/>
          <w:szCs w:val="32"/>
        </w:rPr>
        <w:t>各县区要积极组织媒体开辟专版、专题、专栏，大力宣传本地 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新时代好少年</w:t>
      </w:r>
      <w:r>
        <w:rPr>
          <w:rFonts w:hint="eastAsia" w:ascii="仿宋" w:hAnsi="仿宋" w:eastAsia="仿宋"/>
          <w:sz w:val="32"/>
          <w:szCs w:val="32"/>
        </w:rPr>
        <w:t>”的先进事迹和推荐评选活动的进展效果，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组织发动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校认真开展学习实践，举办演讲征文、故事分享，组织志愿服务、亲情关爱、环境保护、劳动锻炼，开展红色旅游、国情调研，以及科创比赛、小课题研究等活动，引导青少年以“新时代好少年”为榜样，在潜移默化中增进对主流价值的认知认同，内化为思想观念、外化为行为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4.材料报送。</w:t>
      </w:r>
      <w:r>
        <w:rPr>
          <w:rFonts w:hint="eastAsia" w:ascii="仿宋" w:hAnsi="仿宋" w:eastAsia="仿宋"/>
          <w:sz w:val="32"/>
          <w:szCs w:val="32"/>
        </w:rPr>
        <w:t>推荐材料：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新时代好</w:t>
      </w:r>
      <w:r>
        <w:rPr>
          <w:rFonts w:hint="eastAsia" w:ascii="仿宋_GB2312" w:hAnsi="仿宋_GB2312" w:eastAsia="仿宋_GB2312" w:cs="仿宋_GB2312"/>
          <w:sz w:val="32"/>
          <w:szCs w:val="32"/>
        </w:rPr>
        <w:t>少年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1500字文字材料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200字左右事迹简介，一张</w:t>
      </w:r>
      <w:r>
        <w:rPr>
          <w:rFonts w:hint="eastAsia" w:ascii="仿宋_GB2312" w:hAnsi="仿宋_GB2312" w:eastAsia="仿宋_GB2312" w:cs="仿宋_GB2312"/>
          <w:sz w:val="32"/>
          <w:szCs w:val="32"/>
        </w:rPr>
        <w:t>1寸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近期免冠</w:t>
      </w:r>
      <w:r>
        <w:rPr>
          <w:rFonts w:hint="eastAsia" w:ascii="仿宋_GB2312" w:hAnsi="仿宋_GB2312" w:eastAsia="仿宋_GB2312" w:cs="仿宋_GB2312"/>
          <w:sz w:val="32"/>
          <w:szCs w:val="32"/>
        </w:rPr>
        <w:t>照片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纸质版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一式四份</w:t>
      </w:r>
      <w:r>
        <w:rPr>
          <w:rFonts w:hint="eastAsia" w:ascii="仿宋" w:hAnsi="仿宋" w:eastAsia="仿宋"/>
          <w:sz w:val="32"/>
          <w:szCs w:val="32"/>
        </w:rPr>
        <w:t>，加盖推荐单位公章）于4月8日前报市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委</w:t>
      </w:r>
      <w:r>
        <w:rPr>
          <w:rFonts w:hint="eastAsia" w:ascii="仿宋" w:hAnsi="仿宋" w:eastAsia="仿宋"/>
          <w:sz w:val="32"/>
          <w:szCs w:val="32"/>
        </w:rPr>
        <w:t>文明办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思想道德建设</w:t>
      </w:r>
      <w:r>
        <w:rPr>
          <w:rFonts w:hint="eastAsia" w:ascii="仿宋" w:hAnsi="仿宋" w:eastAsia="仿宋"/>
          <w:sz w:val="32"/>
          <w:szCs w:val="32"/>
        </w:rPr>
        <w:t>科，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wmb1909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/>
          <w:snapToGrid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spacing w:val="0"/>
          <w:w w:val="100"/>
          <w:kern w:val="0"/>
          <w:sz w:val="32"/>
          <w:szCs w:val="32"/>
          <w:lang w:val="en-US" w:eastAsia="zh-CN"/>
        </w:rPr>
        <w:t>5、推荐名额。</w:t>
      </w:r>
      <w:r>
        <w:rPr>
          <w:rFonts w:hint="eastAsia" w:ascii="仿宋" w:hAnsi="仿宋" w:eastAsia="仿宋"/>
          <w:snapToGrid w:val="0"/>
          <w:spacing w:val="0"/>
          <w:w w:val="100"/>
          <w:kern w:val="0"/>
          <w:sz w:val="32"/>
          <w:szCs w:val="32"/>
          <w:lang w:val="en-US" w:eastAsia="zh-CN"/>
        </w:rPr>
        <w:t>各县区可在3月初推荐“全国新时代好少年”的基础上，再报2-3名候选人。市教育局直属学校每所学校限报2名候选人，由市教育局统一报送市委文明办。以前已获得过“陕西省美德少年”“陕西省新时代好少年”的不再上报。本次推荐的候选人，还将作为2021年度“宝鸡市新时代好少年”候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/>
          <w:snapToGrid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napToGrid w:val="0"/>
          <w:spacing w:val="0"/>
          <w:w w:val="100"/>
          <w:kern w:val="0"/>
          <w:sz w:val="32"/>
          <w:szCs w:val="32"/>
          <w:lang w:val="en-US" w:eastAsia="zh-CN"/>
        </w:rPr>
        <w:t>联系人：阴学军      电话：3260618</w:t>
      </w:r>
    </w:p>
    <w:p>
      <w:pPr>
        <w:adjustRightInd w:val="0"/>
        <w:snapToGrid w:val="0"/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附: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年度“陕西省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新时代好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少年”候选人推荐表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ind w:firstLine="1120" w:firstLineChars="35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jc w:val="both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中共宝鸡市委文明办。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宝鸡市教育局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1760" w:firstLineChars="55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共青团宝鸡市委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宝鸡市妇联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3200" w:firstLineChars="10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/>
    <w:p/>
    <w:p/>
    <w:p/>
    <w:p/>
    <w:p/>
    <w:p/>
    <w:p/>
    <w:p/>
    <w:p/>
    <w:p/>
    <w:p/>
    <w:p/>
    <w:p>
      <w:pPr>
        <w:adjustRightInd w:val="0"/>
        <w:snapToGrid w:val="0"/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" w:cs="方正小标宋简体"/>
          <w:b w:val="0"/>
          <w:bCs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" w:cs="方正小标宋简体"/>
          <w:b w:val="0"/>
          <w:bCs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" w:cs="方正小标宋简体"/>
          <w:b w:val="0"/>
          <w:bCs/>
          <w:kern w:val="0"/>
          <w:sz w:val="44"/>
          <w:szCs w:val="44"/>
        </w:rPr>
        <w:t>年度“陕西省</w:t>
      </w:r>
      <w:r>
        <w:rPr>
          <w:rFonts w:hint="eastAsia" w:ascii="方正小标宋简体" w:hAnsi="方正小标宋简体" w:eastAsia="方正小标宋" w:cs="方正小标宋简体"/>
          <w:b w:val="0"/>
          <w:bCs/>
          <w:kern w:val="0"/>
          <w:sz w:val="44"/>
          <w:szCs w:val="44"/>
          <w:lang w:val="en-US" w:eastAsia="zh-CN"/>
        </w:rPr>
        <w:t>新时代好少年</w:t>
      </w:r>
      <w:r>
        <w:rPr>
          <w:rFonts w:hint="eastAsia" w:ascii="方正小标宋简体" w:hAnsi="方正小标宋简体" w:eastAsia="方正小标宋" w:cs="方正小标宋简体"/>
          <w:b w:val="0"/>
          <w:bCs/>
          <w:kern w:val="0"/>
          <w:sz w:val="44"/>
          <w:szCs w:val="44"/>
        </w:rPr>
        <w:t>”候选人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" w:cs="方正小标宋简体"/>
          <w:b w:val="0"/>
          <w:bCs/>
          <w:kern w:val="0"/>
          <w:sz w:val="44"/>
          <w:szCs w:val="44"/>
        </w:rPr>
        <w:t>推</w:t>
      </w:r>
      <w:r>
        <w:rPr>
          <w:rFonts w:hint="eastAsia" w:ascii="方正小标宋简体" w:hAnsi="方正小标宋简体" w:eastAsia="方正小标宋" w:cs="方正小标宋简体"/>
          <w:b w:val="0"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" w:cs="方正小标宋简体"/>
          <w:b w:val="0"/>
          <w:bCs/>
          <w:kern w:val="0"/>
          <w:sz w:val="44"/>
          <w:szCs w:val="44"/>
        </w:rPr>
        <w:t>荐</w:t>
      </w:r>
      <w:r>
        <w:rPr>
          <w:rFonts w:hint="eastAsia" w:ascii="方正小标宋简体" w:hAnsi="方正小标宋简体" w:eastAsia="方正小标宋" w:cs="方正小标宋简体"/>
          <w:b w:val="0"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" w:cs="方正小标宋简体"/>
          <w:b w:val="0"/>
          <w:bCs/>
          <w:kern w:val="0"/>
          <w:sz w:val="44"/>
          <w:szCs w:val="44"/>
        </w:rPr>
        <w:t>表</w:t>
      </w:r>
    </w:p>
    <w:p>
      <w:pPr>
        <w:adjustRightInd w:val="0"/>
        <w:snapToGrid w:val="0"/>
        <w:spacing w:before="156" w:beforeLines="50" w:after="156" w:afterLines="50" w:line="620" w:lineRule="exact"/>
        <w:ind w:firstLine="1260" w:firstLineChars="4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市（区）  </w:t>
      </w:r>
    </w:p>
    <w:tbl>
      <w:tblPr>
        <w:tblStyle w:val="4"/>
        <w:tblW w:w="921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350"/>
        <w:gridCol w:w="788"/>
        <w:gridCol w:w="697"/>
        <w:gridCol w:w="1395"/>
        <w:gridCol w:w="120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所在学校、班级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家庭详细住址</w:t>
            </w:r>
          </w:p>
        </w:tc>
        <w:tc>
          <w:tcPr>
            <w:tcW w:w="5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父亲姓名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20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单位、职务或职业</w:t>
            </w:r>
          </w:p>
        </w:tc>
        <w:tc>
          <w:tcPr>
            <w:tcW w:w="714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母亲姓名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单位、职务或职业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班主任评价</w:t>
            </w:r>
          </w:p>
          <w:p>
            <w:pPr>
              <w:adjustRightInd w:val="0"/>
              <w:snapToGrid w:val="0"/>
              <w:spacing w:line="6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（70—100字）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ind w:right="1260"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620" w:lineRule="exact"/>
              <w:ind w:right="12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学校盖章</w:t>
            </w:r>
          </w:p>
          <w:p>
            <w:pPr>
              <w:adjustRightInd w:val="0"/>
              <w:snapToGrid w:val="0"/>
              <w:spacing w:line="620" w:lineRule="exact"/>
              <w:ind w:right="84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社区（村党支部）意见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ind w:left="1" w:right="11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（盖章）</w:t>
            </w:r>
          </w:p>
          <w:p>
            <w:pPr>
              <w:adjustRightInd w:val="0"/>
              <w:snapToGrid w:val="0"/>
              <w:spacing w:line="620" w:lineRule="exact"/>
              <w:ind w:left="1" w:right="452" w:firstLine="3920" w:firstLineChars="1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5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主要事迹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（500字）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ind w:right="1120"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1120"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1120"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1120"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11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</w:p>
          <w:p>
            <w:pPr>
              <w:adjustRightInd w:val="0"/>
              <w:snapToGrid w:val="0"/>
              <w:spacing w:line="620" w:lineRule="exact"/>
              <w:ind w:right="11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县（区）文明办意见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ind w:right="15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（盖章）</w:t>
            </w:r>
          </w:p>
          <w:p>
            <w:pPr>
              <w:adjustRightInd w:val="0"/>
              <w:snapToGrid w:val="0"/>
              <w:spacing w:line="620" w:lineRule="exact"/>
              <w:ind w:right="15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ind w:firstLine="264" w:firstLineChars="100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市（区）文明办推荐意见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ind w:right="11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（盖章）</w:t>
            </w:r>
          </w:p>
          <w:p>
            <w:pPr>
              <w:adjustRightInd w:val="0"/>
              <w:snapToGrid w:val="0"/>
              <w:spacing w:line="620" w:lineRule="exact"/>
              <w:ind w:right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年   月    日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注：此表请双面打印。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A284C"/>
    <w:rsid w:val="00F16F1F"/>
    <w:rsid w:val="02F11D04"/>
    <w:rsid w:val="03AE24A7"/>
    <w:rsid w:val="05386B6D"/>
    <w:rsid w:val="0759274F"/>
    <w:rsid w:val="07C668EA"/>
    <w:rsid w:val="0A641F21"/>
    <w:rsid w:val="0A74558F"/>
    <w:rsid w:val="0AD5229A"/>
    <w:rsid w:val="105139CD"/>
    <w:rsid w:val="20F831A7"/>
    <w:rsid w:val="24C223CB"/>
    <w:rsid w:val="250A3F25"/>
    <w:rsid w:val="25FA0F26"/>
    <w:rsid w:val="269A5004"/>
    <w:rsid w:val="2B335D70"/>
    <w:rsid w:val="2C2C3DC8"/>
    <w:rsid w:val="38E87D5C"/>
    <w:rsid w:val="397E4D87"/>
    <w:rsid w:val="3B301651"/>
    <w:rsid w:val="3E314B64"/>
    <w:rsid w:val="3FD25C3B"/>
    <w:rsid w:val="40B657B6"/>
    <w:rsid w:val="41CB64A1"/>
    <w:rsid w:val="438A284C"/>
    <w:rsid w:val="461F7C05"/>
    <w:rsid w:val="4D69117B"/>
    <w:rsid w:val="4F5C6499"/>
    <w:rsid w:val="54412EB6"/>
    <w:rsid w:val="59730ED3"/>
    <w:rsid w:val="5AD0460C"/>
    <w:rsid w:val="5E1F0F55"/>
    <w:rsid w:val="663F3CCC"/>
    <w:rsid w:val="6B372327"/>
    <w:rsid w:val="6EF56F2C"/>
    <w:rsid w:val="6F8B5FEF"/>
    <w:rsid w:val="70B650CE"/>
    <w:rsid w:val="70C871B8"/>
    <w:rsid w:val="7541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2021-03-19T07:23:00Z</dcterms:created>
  <dc:creator>Lenovo</dc:creator>
  <cp:lastModifiedBy>笑笑</cp:lastModifiedBy>
  <cp:lastPrinted>2021-03-30T03:28:00Z</cp:lastPrinted>
  <dcterms:modified xsi:type="dcterms:W3CDTF">2021-03-30T03:59:41Z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9C0268A929B54A8A971D80B274D072BF</vt:lpwstr>
  </property>
</Properties>
</file>